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7CE9A3" w14:textId="77777777" w:rsidR="00664D3C" w:rsidRDefault="00664D3C" w:rsidP="00583F1E">
      <w:pPr>
        <w:jc w:val="both"/>
        <w:rPr>
          <w:rFonts w:ascii="Arial" w:hAnsi="Arial" w:cs="Arial"/>
          <w:b/>
          <w:bCs/>
        </w:rPr>
      </w:pPr>
    </w:p>
    <w:p w14:paraId="1F2C58D1" w14:textId="36C10F83" w:rsidR="00583F1E" w:rsidRPr="00583F1E" w:rsidRDefault="00E94163" w:rsidP="00583F1E">
      <w:pPr>
        <w:jc w:val="both"/>
        <w:rPr>
          <w:rFonts w:ascii="Arial" w:hAnsi="Arial" w:cs="Arial"/>
          <w:b/>
          <w:bCs/>
        </w:rPr>
      </w:pPr>
      <w:r>
        <w:rPr>
          <w:rFonts w:ascii="Arial" w:hAnsi="Arial" w:cs="Arial"/>
          <w:b/>
          <w:bCs/>
        </w:rPr>
        <w:t>Do Cadastramento</w:t>
      </w:r>
    </w:p>
    <w:p w14:paraId="0358135C" w14:textId="5D76AC1C" w:rsidR="00583F1E" w:rsidRPr="00583F1E" w:rsidRDefault="001311CF" w:rsidP="00583F1E">
      <w:pPr>
        <w:jc w:val="both"/>
        <w:rPr>
          <w:rFonts w:ascii="Arial" w:hAnsi="Arial" w:cs="Arial"/>
        </w:rPr>
      </w:pPr>
      <w:r w:rsidRPr="001311CF">
        <w:rPr>
          <w:rFonts w:ascii="Arial" w:hAnsi="Arial" w:cs="Arial"/>
        </w:rPr>
        <w:t>São considerados oficiais aqueles que estejam a serviço da União, Estados, Municípios e Distrito Federal, bem como seus respectivos órgãos, departamentos, autarquias ou fundações públicas, além dos veículos do Corpo Diplomático, conforme estabelecido pelas Resoluções ANTT nº 3.916/2012 e Resolução ANTT nº 5.016/2016 ou outra que venha a substituí-las ou complementá-las.</w:t>
      </w:r>
    </w:p>
    <w:p w14:paraId="64EB6432" w14:textId="77777777" w:rsidR="00583F1E" w:rsidRPr="00583F1E" w:rsidRDefault="00583F1E" w:rsidP="00583F1E">
      <w:pPr>
        <w:jc w:val="both"/>
        <w:rPr>
          <w:rFonts w:ascii="Arial" w:hAnsi="Arial" w:cs="Arial"/>
        </w:rPr>
      </w:pPr>
    </w:p>
    <w:p w14:paraId="356FBFB6" w14:textId="77777777" w:rsidR="00583F1E" w:rsidRPr="00583F1E" w:rsidRDefault="00583F1E" w:rsidP="00583F1E">
      <w:pPr>
        <w:jc w:val="both"/>
        <w:rPr>
          <w:rFonts w:ascii="Arial" w:hAnsi="Arial" w:cs="Arial"/>
        </w:rPr>
      </w:pPr>
      <w:r w:rsidRPr="00583F1E">
        <w:rPr>
          <w:rFonts w:ascii="Arial" w:hAnsi="Arial" w:cs="Arial"/>
        </w:rPr>
        <w:t>Classificam-se como tais os veículos identificados com placas azuis com caracteres brancos, brancas com caracteres pretos ou pretas com caracteres dourados, conforme previsto na Resolução Contran nº 231, de 15 de março de 2007. Também são considerados isentos veículos que, embora não se enquadrem nas condições acima, sejam utilizados pela União, Estados, Municípios e Distrito Federal, bem como por seus respectivos órgãos, departamentos, autarquias ou fundações públicas.</w:t>
      </w:r>
    </w:p>
    <w:p w14:paraId="1B1A7206" w14:textId="77777777" w:rsidR="00583F1E" w:rsidRPr="00583F1E" w:rsidRDefault="00583F1E" w:rsidP="00583F1E">
      <w:pPr>
        <w:jc w:val="both"/>
        <w:rPr>
          <w:rFonts w:ascii="Arial" w:hAnsi="Arial" w:cs="Arial"/>
        </w:rPr>
      </w:pPr>
    </w:p>
    <w:p w14:paraId="60951FE7" w14:textId="77777777" w:rsidR="00583F1E" w:rsidRPr="00583F1E" w:rsidRDefault="00583F1E" w:rsidP="00583F1E">
      <w:pPr>
        <w:jc w:val="both"/>
        <w:rPr>
          <w:rFonts w:ascii="Arial" w:hAnsi="Arial" w:cs="Arial"/>
        </w:rPr>
      </w:pPr>
      <w:r w:rsidRPr="00583F1E">
        <w:rPr>
          <w:rFonts w:ascii="Arial" w:hAnsi="Arial" w:cs="Arial"/>
        </w:rPr>
        <w:t>Veículos oficiais devidamente identificados com placas azuis com caracteres brancos, brancas com caracteres pretos ou pretas com caracteres dourados, conforme a Resolução Contran nº 231/2007, bem como veículos com placas brancas com caracteres azuis ou dourados, conforme a Resolução Contran nº 510, de 27 de novembro de 2014, não necessitam de cadastro prévio junto às concessionárias de rodovias.</w:t>
      </w:r>
    </w:p>
    <w:p w14:paraId="53F5C4F2" w14:textId="77777777" w:rsidR="00583F1E" w:rsidRPr="00583F1E" w:rsidRDefault="00583F1E" w:rsidP="00583F1E">
      <w:pPr>
        <w:jc w:val="both"/>
        <w:rPr>
          <w:rFonts w:ascii="Arial" w:hAnsi="Arial" w:cs="Arial"/>
        </w:rPr>
      </w:pPr>
    </w:p>
    <w:p w14:paraId="16916490" w14:textId="77777777" w:rsidR="00583F1E" w:rsidRDefault="00583F1E" w:rsidP="00583F1E">
      <w:pPr>
        <w:jc w:val="both"/>
        <w:rPr>
          <w:rFonts w:ascii="Arial" w:hAnsi="Arial" w:cs="Arial"/>
        </w:rPr>
      </w:pPr>
      <w:r w:rsidRPr="00583F1E">
        <w:rPr>
          <w:rFonts w:ascii="Arial" w:hAnsi="Arial" w:cs="Arial"/>
        </w:rPr>
        <w:t>Já os veículos que não se enquadram na descrição acima, bem como aqueles locados pela União, devem apresentar a seguinte documentação para solicitação de isenção:</w:t>
      </w:r>
    </w:p>
    <w:p w14:paraId="05D1CE09" w14:textId="77777777" w:rsidR="00583F1E" w:rsidRPr="00583F1E" w:rsidRDefault="00583F1E" w:rsidP="00583F1E">
      <w:pPr>
        <w:jc w:val="both"/>
        <w:rPr>
          <w:rFonts w:ascii="Arial" w:hAnsi="Arial" w:cs="Arial"/>
        </w:rPr>
      </w:pPr>
    </w:p>
    <w:p w14:paraId="220C64BB" w14:textId="77777777" w:rsidR="00583F1E" w:rsidRPr="00583F1E" w:rsidRDefault="00583F1E" w:rsidP="00583F1E">
      <w:pPr>
        <w:pStyle w:val="PargrafodaLista"/>
        <w:numPr>
          <w:ilvl w:val="0"/>
          <w:numId w:val="1"/>
        </w:numPr>
        <w:jc w:val="both"/>
        <w:rPr>
          <w:rFonts w:ascii="Arial" w:hAnsi="Arial" w:cs="Arial"/>
        </w:rPr>
      </w:pPr>
      <w:r w:rsidRPr="00583F1E">
        <w:rPr>
          <w:rFonts w:ascii="Arial" w:hAnsi="Arial" w:cs="Arial"/>
        </w:rPr>
        <w:t xml:space="preserve">Cópia do Certificado de Licenciamento do Veículo (CLV); </w:t>
      </w:r>
    </w:p>
    <w:p w14:paraId="5081307A" w14:textId="77777777" w:rsidR="00583F1E" w:rsidRPr="00583F1E" w:rsidRDefault="00583F1E" w:rsidP="00583F1E">
      <w:pPr>
        <w:pStyle w:val="PargrafodaLista"/>
        <w:numPr>
          <w:ilvl w:val="0"/>
          <w:numId w:val="1"/>
        </w:numPr>
        <w:jc w:val="both"/>
        <w:rPr>
          <w:rFonts w:ascii="Arial" w:hAnsi="Arial" w:cs="Arial"/>
        </w:rPr>
      </w:pPr>
      <w:r w:rsidRPr="00583F1E">
        <w:rPr>
          <w:rFonts w:ascii="Arial" w:hAnsi="Arial" w:cs="Arial"/>
        </w:rPr>
        <w:t xml:space="preserve">Cópia do Contrato de Locação do(s) Veículo(s); </w:t>
      </w:r>
    </w:p>
    <w:p w14:paraId="072D8A4C" w14:textId="77777777" w:rsidR="00583F1E" w:rsidRPr="00583F1E" w:rsidRDefault="00583F1E" w:rsidP="00583F1E">
      <w:pPr>
        <w:pStyle w:val="PargrafodaLista"/>
        <w:numPr>
          <w:ilvl w:val="0"/>
          <w:numId w:val="1"/>
        </w:numPr>
        <w:jc w:val="both"/>
        <w:rPr>
          <w:rFonts w:ascii="Arial" w:hAnsi="Arial" w:cs="Arial"/>
        </w:rPr>
      </w:pPr>
      <w:r w:rsidRPr="00583F1E">
        <w:rPr>
          <w:rFonts w:ascii="Arial" w:hAnsi="Arial" w:cs="Arial"/>
        </w:rPr>
        <w:t xml:space="preserve">Documento de representatividade dos assinantes do Contrato de Locação (ou documento equivalente); </w:t>
      </w:r>
    </w:p>
    <w:p w14:paraId="44A0CF8C" w14:textId="4B29FC78" w:rsidR="18226ECE" w:rsidRPr="001311CF" w:rsidRDefault="00583F1E" w:rsidP="001311CF">
      <w:pPr>
        <w:pStyle w:val="PargrafodaLista"/>
        <w:numPr>
          <w:ilvl w:val="0"/>
          <w:numId w:val="1"/>
        </w:numPr>
        <w:jc w:val="both"/>
        <w:rPr>
          <w:rFonts w:ascii="Arial" w:hAnsi="Arial" w:cs="Arial"/>
        </w:rPr>
      </w:pPr>
      <w:r w:rsidRPr="18226ECE">
        <w:rPr>
          <w:rFonts w:ascii="Arial" w:hAnsi="Arial" w:cs="Arial"/>
        </w:rPr>
        <w:t xml:space="preserve">Ofício de Solicitação de Isenção contendo a descrição do veículo e período de isenção pretendido </w:t>
      </w:r>
    </w:p>
    <w:p w14:paraId="3C3A258C" w14:textId="77777777" w:rsidR="00583F1E" w:rsidRPr="00583F1E" w:rsidRDefault="00583F1E" w:rsidP="00583F1E">
      <w:pPr>
        <w:pStyle w:val="PargrafodaLista"/>
        <w:numPr>
          <w:ilvl w:val="0"/>
          <w:numId w:val="1"/>
        </w:numPr>
        <w:jc w:val="both"/>
        <w:rPr>
          <w:rFonts w:ascii="Arial" w:hAnsi="Arial" w:cs="Arial"/>
        </w:rPr>
      </w:pPr>
      <w:r w:rsidRPr="00583F1E">
        <w:rPr>
          <w:rFonts w:ascii="Arial" w:hAnsi="Arial" w:cs="Arial"/>
        </w:rPr>
        <w:lastRenderedPageBreak/>
        <w:t xml:space="preserve">Em caso de Autarquia e Fundação Pública, cópia da norma que a instituiu, e da certidão de registro civil, quando se tratar de fundação pública de direito privado. </w:t>
      </w:r>
    </w:p>
    <w:p w14:paraId="1DBF391D" w14:textId="77777777" w:rsidR="00583F1E" w:rsidRPr="00583F1E" w:rsidRDefault="00583F1E" w:rsidP="00583F1E">
      <w:pPr>
        <w:pStyle w:val="PargrafodaLista"/>
        <w:numPr>
          <w:ilvl w:val="0"/>
          <w:numId w:val="1"/>
        </w:numPr>
        <w:jc w:val="both"/>
        <w:rPr>
          <w:rFonts w:ascii="Arial" w:hAnsi="Arial" w:cs="Arial"/>
        </w:rPr>
      </w:pPr>
      <w:r w:rsidRPr="00583F1E">
        <w:rPr>
          <w:rFonts w:ascii="Arial" w:hAnsi="Arial" w:cs="Arial"/>
        </w:rPr>
        <w:t xml:space="preserve">Cópia do “Procedimento Para Pedido de Isenção De Pedágio” com todas as folhas rubricadas, e no final, assinada com firma reconhecida em cartório do representante legal do órgão solicitante. </w:t>
      </w:r>
    </w:p>
    <w:p w14:paraId="2E2D0770" w14:textId="19B2A081" w:rsidR="00583F1E" w:rsidRDefault="00583F1E" w:rsidP="00583F1E">
      <w:pPr>
        <w:pStyle w:val="PargrafodaLista"/>
        <w:numPr>
          <w:ilvl w:val="0"/>
          <w:numId w:val="1"/>
        </w:numPr>
        <w:jc w:val="both"/>
        <w:rPr>
          <w:rFonts w:ascii="Arial" w:hAnsi="Arial" w:cs="Arial"/>
        </w:rPr>
      </w:pPr>
      <w:r w:rsidRPr="00583F1E">
        <w:rPr>
          <w:rFonts w:ascii="Arial" w:hAnsi="Arial" w:cs="Arial"/>
        </w:rPr>
        <w:t>Requerimento devidamente preenchido (anexo)</w:t>
      </w:r>
      <w:r w:rsidR="006F0360">
        <w:rPr>
          <w:rFonts w:ascii="Arial" w:hAnsi="Arial" w:cs="Arial"/>
        </w:rPr>
        <w:t>;</w:t>
      </w:r>
    </w:p>
    <w:p w14:paraId="46DA1B5A" w14:textId="5EB18D26" w:rsidR="006F0360" w:rsidRDefault="006F0360" w:rsidP="006F0360">
      <w:pPr>
        <w:pStyle w:val="PargrafodaLista"/>
        <w:numPr>
          <w:ilvl w:val="0"/>
          <w:numId w:val="1"/>
        </w:numPr>
        <w:rPr>
          <w:rFonts w:ascii="Arial" w:hAnsi="Arial" w:cs="Arial"/>
        </w:rPr>
      </w:pPr>
      <w:r w:rsidRPr="006F0360">
        <w:rPr>
          <w:rFonts w:ascii="Arial" w:hAnsi="Arial" w:cs="Arial"/>
        </w:rPr>
        <w:t>Modelo; Placa devidamente identificados em Contrato ou Anexo ao documento</w:t>
      </w:r>
      <w:r w:rsidR="006C69F5">
        <w:rPr>
          <w:rFonts w:ascii="Arial" w:hAnsi="Arial" w:cs="Arial"/>
        </w:rPr>
        <w:t>;</w:t>
      </w:r>
    </w:p>
    <w:p w14:paraId="53103F18" w14:textId="40AB276A" w:rsidR="006C69F5" w:rsidRPr="006C69F5" w:rsidRDefault="006C69F5" w:rsidP="006C69F5">
      <w:pPr>
        <w:pStyle w:val="PargrafodaLista"/>
        <w:numPr>
          <w:ilvl w:val="0"/>
          <w:numId w:val="1"/>
        </w:numPr>
        <w:rPr>
          <w:rFonts w:ascii="Arial" w:hAnsi="Arial" w:cs="Arial"/>
        </w:rPr>
      </w:pPr>
      <w:r w:rsidRPr="006C69F5">
        <w:rPr>
          <w:rFonts w:ascii="Arial" w:hAnsi="Arial" w:cs="Arial"/>
        </w:rPr>
        <w:t>Encaminhamento de ao menos uma foto frontal e traseira, com confirmação do veículo a ser concedido o benefício de isenção</w:t>
      </w:r>
      <w:r>
        <w:rPr>
          <w:rFonts w:ascii="Arial" w:hAnsi="Arial" w:cs="Arial"/>
        </w:rPr>
        <w:t>.</w:t>
      </w:r>
    </w:p>
    <w:p w14:paraId="0364FB15" w14:textId="77777777" w:rsidR="00BA7673" w:rsidRPr="00BA7673" w:rsidRDefault="00BA7673" w:rsidP="00BA7673">
      <w:pPr>
        <w:pStyle w:val="PargrafodaLista"/>
        <w:jc w:val="both"/>
        <w:rPr>
          <w:rFonts w:ascii="Arial" w:hAnsi="Arial" w:cs="Arial"/>
        </w:rPr>
      </w:pPr>
    </w:p>
    <w:p w14:paraId="380CC223" w14:textId="77777777" w:rsidR="00583F1E" w:rsidRPr="00583F1E" w:rsidRDefault="00583F1E" w:rsidP="00583F1E">
      <w:pPr>
        <w:jc w:val="both"/>
        <w:rPr>
          <w:rFonts w:ascii="Arial" w:hAnsi="Arial" w:cs="Arial"/>
        </w:rPr>
      </w:pPr>
      <w:r w:rsidRPr="00583F1E">
        <w:rPr>
          <w:rFonts w:ascii="Arial" w:hAnsi="Arial" w:cs="Arial"/>
        </w:rPr>
        <w:t>As isenções devem ser renovadas anualmente pelos órgãos responsáveis.</w:t>
      </w:r>
    </w:p>
    <w:p w14:paraId="5C8078B4" w14:textId="77777777" w:rsidR="00583F1E" w:rsidRPr="00583F1E" w:rsidRDefault="00583F1E" w:rsidP="00583F1E">
      <w:pPr>
        <w:jc w:val="both"/>
        <w:rPr>
          <w:rFonts w:ascii="Arial" w:hAnsi="Arial" w:cs="Arial"/>
        </w:rPr>
      </w:pPr>
    </w:p>
    <w:p w14:paraId="47A36FE0" w14:textId="2D390267" w:rsidR="00583F1E" w:rsidRPr="00583F1E" w:rsidRDefault="00583F1E" w:rsidP="00583F1E">
      <w:pPr>
        <w:jc w:val="both"/>
        <w:rPr>
          <w:rFonts w:ascii="Arial" w:hAnsi="Arial" w:cs="Arial"/>
        </w:rPr>
      </w:pPr>
      <w:r w:rsidRPr="00583F1E">
        <w:rPr>
          <w:rFonts w:ascii="Arial" w:hAnsi="Arial" w:cs="Arial"/>
        </w:rPr>
        <w:t>Não são considerados oficiais, para fins de isenção de tarifa, os veículos pertencentes a sociedades de economia mista, empresas públicas e associações privadas.</w:t>
      </w:r>
    </w:p>
    <w:p w14:paraId="6407C016" w14:textId="77777777" w:rsidR="00583F1E" w:rsidRPr="00583F1E" w:rsidRDefault="00583F1E" w:rsidP="00583F1E">
      <w:pPr>
        <w:jc w:val="both"/>
        <w:rPr>
          <w:rFonts w:ascii="Arial" w:hAnsi="Arial" w:cs="Arial"/>
        </w:rPr>
      </w:pPr>
    </w:p>
    <w:p w14:paraId="2709793C" w14:textId="241F7BFB" w:rsidR="00583F1E" w:rsidRDefault="00583F1E" w:rsidP="00583F1E">
      <w:pPr>
        <w:jc w:val="both"/>
        <w:rPr>
          <w:rFonts w:ascii="Arial" w:hAnsi="Arial" w:cs="Arial"/>
        </w:rPr>
      </w:pPr>
      <w:r w:rsidRPr="00583F1E">
        <w:rPr>
          <w:rFonts w:ascii="Arial" w:hAnsi="Arial" w:cs="Arial"/>
        </w:rPr>
        <w:t>Formas de envio da documentação ao Centro de Controle de Arrecadação (CCA)</w:t>
      </w:r>
    </w:p>
    <w:p w14:paraId="555D9659" w14:textId="34A15D74" w:rsidR="00090836" w:rsidRDefault="00090836" w:rsidP="00583F1E">
      <w:pPr>
        <w:jc w:val="both"/>
        <w:rPr>
          <w:rFonts w:ascii="Arial" w:hAnsi="Arial" w:cs="Arial"/>
        </w:rPr>
      </w:pPr>
      <w:r>
        <w:rPr>
          <w:rFonts w:ascii="Arial" w:hAnsi="Arial" w:cs="Arial"/>
        </w:rPr>
        <w:t>Assunto: Pedido de Isenção – (Unidade/Departamento/Instituição)</w:t>
      </w:r>
    </w:p>
    <w:p w14:paraId="21AB9306" w14:textId="77777777" w:rsidR="00090836" w:rsidRDefault="00090836" w:rsidP="00090836">
      <w:pPr>
        <w:rPr>
          <w:rFonts w:ascii="Arial" w:hAnsi="Arial" w:cs="Arial"/>
        </w:rPr>
      </w:pPr>
      <w:r>
        <w:rPr>
          <w:rFonts w:ascii="Arial" w:hAnsi="Arial" w:cs="Arial"/>
        </w:rPr>
        <w:t xml:space="preserve">e-mail: </w:t>
      </w:r>
    </w:p>
    <w:p w14:paraId="49002638" w14:textId="4F482E41" w:rsidR="00090836" w:rsidRPr="00E94163" w:rsidRDefault="00090836" w:rsidP="00E94163">
      <w:pPr>
        <w:spacing w:after="0"/>
        <w:jc w:val="right"/>
        <w:rPr>
          <w:rFonts w:ascii="Arial" w:hAnsi="Arial" w:cs="Arial"/>
          <w:color w:val="0070C0"/>
          <w14:textOutline w14:w="0" w14:cap="flat" w14:cmpd="sng" w14:algn="ctr">
            <w14:noFill/>
            <w14:prstDash w14:val="solid"/>
            <w14:round/>
          </w14:textOutline>
        </w:rPr>
      </w:pPr>
      <w:r w:rsidRPr="00E94163">
        <w:rPr>
          <w:rFonts w:ascii="Arial" w:hAnsi="Arial" w:cs="Arial"/>
          <w:color w:val="0070C0"/>
          <w14:textOutline w14:w="0" w14:cap="flat" w14:cmpd="sng" w14:algn="ctr">
            <w14:noFill/>
            <w14:prstDash w14:val="solid"/>
            <w14:round/>
          </w14:textOutline>
        </w:rPr>
        <w:t>isento@way262.com.br</w:t>
      </w:r>
      <w:r w:rsidRPr="00E94163">
        <w:rPr>
          <w:rFonts w:ascii="Arial" w:hAnsi="Arial" w:cs="Arial"/>
          <w:color w:val="0070C0"/>
          <w14:textOutline w14:w="0" w14:cap="flat" w14:cmpd="sng" w14:algn="ctr">
            <w14:noFill/>
            <w14:prstDash w14:val="solid"/>
            <w14:round/>
          </w14:textOutline>
        </w:rPr>
        <w:br/>
      </w:r>
      <w:hyperlink r:id="rId7" w:history="1">
        <w:r w:rsidR="00E94163" w:rsidRPr="00E94163">
          <w:rPr>
            <w:rStyle w:val="Hyperlink"/>
            <w:rFonts w:ascii="Arial" w:hAnsi="Arial" w:cs="Arial"/>
            <w:color w:val="0070C0"/>
            <w:u w:val="none"/>
            <w14:textOutline w14:w="0" w14:cap="flat" w14:cmpd="sng" w14:algn="ctr">
              <w14:noFill/>
              <w14:prstDash w14:val="solid"/>
              <w14:round/>
            </w14:textOutline>
          </w:rPr>
          <w:t>cca@way262.com.br</w:t>
        </w:r>
      </w:hyperlink>
    </w:p>
    <w:p w14:paraId="7A6B7BD1" w14:textId="4645AD4F" w:rsidR="00E94163" w:rsidRPr="00E94163" w:rsidRDefault="00E94163" w:rsidP="00E94163">
      <w:pPr>
        <w:spacing w:after="0"/>
        <w:jc w:val="right"/>
        <w:rPr>
          <w:rFonts w:ascii="Arial" w:hAnsi="Arial" w:cs="Arial"/>
          <w:color w:val="0070C0"/>
          <w14:textOutline w14:w="0" w14:cap="flat" w14:cmpd="sng" w14:algn="ctr">
            <w14:noFill/>
            <w14:prstDash w14:val="solid"/>
            <w14:round/>
          </w14:textOutline>
        </w:rPr>
      </w:pPr>
      <w:r w:rsidRPr="00E94163">
        <w:rPr>
          <w:rFonts w:ascii="Arial" w:hAnsi="Arial" w:cs="Arial"/>
          <w:color w:val="0070C0"/>
          <w14:textOutline w14:w="0" w14:cap="flat" w14:cmpd="sng" w14:algn="ctr">
            <w14:noFill/>
            <w14:prstDash w14:val="solid"/>
            <w14:round/>
          </w14:textOutline>
        </w:rPr>
        <w:t>www.way262.com.br</w:t>
      </w:r>
    </w:p>
    <w:sectPr w:rsidR="00E94163" w:rsidRPr="00E94163" w:rsidSect="00664D3C">
      <w:headerReference w:type="default" r:id="rId8"/>
      <w:pgSz w:w="11906" w:h="16838"/>
      <w:pgMar w:top="1929"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EF6475" w14:textId="77777777" w:rsidR="00035F00" w:rsidRDefault="00035F00" w:rsidP="00204443">
      <w:pPr>
        <w:spacing w:after="0" w:line="240" w:lineRule="auto"/>
      </w:pPr>
      <w:r>
        <w:separator/>
      </w:r>
    </w:p>
  </w:endnote>
  <w:endnote w:type="continuationSeparator" w:id="0">
    <w:p w14:paraId="6C1FACC7" w14:textId="77777777" w:rsidR="00035F00" w:rsidRDefault="00035F00" w:rsidP="002044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7FB2C7" w14:textId="77777777" w:rsidR="00035F00" w:rsidRDefault="00035F00" w:rsidP="00204443">
      <w:pPr>
        <w:spacing w:after="0" w:line="240" w:lineRule="auto"/>
      </w:pPr>
      <w:r>
        <w:separator/>
      </w:r>
    </w:p>
  </w:footnote>
  <w:footnote w:type="continuationSeparator" w:id="0">
    <w:p w14:paraId="1A0022E9" w14:textId="77777777" w:rsidR="00035F00" w:rsidRDefault="00035F00" w:rsidP="002044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comgrade"/>
      <w:tblW w:w="10490" w:type="dxa"/>
      <w:tblInd w:w="-856" w:type="dxa"/>
      <w:tblLook w:val="04A0" w:firstRow="1" w:lastRow="0" w:firstColumn="1" w:lastColumn="0" w:noHBand="0" w:noVBand="1"/>
    </w:tblPr>
    <w:tblGrid>
      <w:gridCol w:w="2263"/>
      <w:gridCol w:w="6243"/>
      <w:gridCol w:w="1984"/>
    </w:tblGrid>
    <w:tr w:rsidR="00204443" w14:paraId="6FA44A95" w14:textId="77777777" w:rsidTr="00664D3C">
      <w:trPr>
        <w:trHeight w:val="279"/>
      </w:trPr>
      <w:tc>
        <w:tcPr>
          <w:tcW w:w="2263" w:type="dxa"/>
          <w:vMerge w:val="restart"/>
          <w:tcBorders>
            <w:bottom w:val="nil"/>
          </w:tcBorders>
          <w:vAlign w:val="center"/>
        </w:tcPr>
        <w:p w14:paraId="040C31F7" w14:textId="77777777" w:rsidR="00204443" w:rsidRDefault="00204443" w:rsidP="00204443">
          <w:pPr>
            <w:pStyle w:val="Cabealho"/>
            <w:ind w:left="-108"/>
            <w:jc w:val="center"/>
          </w:pPr>
          <w:r>
            <w:rPr>
              <w:noProof/>
            </w:rPr>
            <w:drawing>
              <wp:inline distT="0" distB="0" distL="0" distR="0" wp14:anchorId="0CCE3091" wp14:editId="5D29D6A8">
                <wp:extent cx="1282642" cy="708660"/>
                <wp:effectExtent l="0" t="0" r="0" b="0"/>
                <wp:docPr id="79162837" name="Imagem 1" descr="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2411502" name="Imagem 1" descr="Logotipo&#10;&#10;O conteúdo gerado por IA pode estar incorreto."/>
                        <pic:cNvPicPr/>
                      </pic:nvPicPr>
                      <pic:blipFill>
                        <a:blip r:embed="rId1">
                          <a:extLst>
                            <a:ext uri="{28A0092B-C50C-407E-A947-70E740481C1C}">
                              <a14:useLocalDpi xmlns:a14="http://schemas.microsoft.com/office/drawing/2010/main" val="0"/>
                            </a:ext>
                          </a:extLst>
                        </a:blip>
                        <a:stretch>
                          <a:fillRect/>
                        </a:stretch>
                      </pic:blipFill>
                      <pic:spPr>
                        <a:xfrm>
                          <a:off x="0" y="0"/>
                          <a:ext cx="1287315" cy="711242"/>
                        </a:xfrm>
                        <a:prstGeom prst="rect">
                          <a:avLst/>
                        </a:prstGeom>
                      </pic:spPr>
                    </pic:pic>
                  </a:graphicData>
                </a:graphic>
              </wp:inline>
            </w:drawing>
          </w:r>
        </w:p>
      </w:tc>
      <w:tc>
        <w:tcPr>
          <w:tcW w:w="6243" w:type="dxa"/>
          <w:vMerge w:val="restart"/>
          <w:tcBorders>
            <w:bottom w:val="nil"/>
          </w:tcBorders>
          <w:vAlign w:val="center"/>
        </w:tcPr>
        <w:p w14:paraId="62E58D0C" w14:textId="36D1977F" w:rsidR="00204443" w:rsidRPr="00B4510E" w:rsidRDefault="00204443" w:rsidP="00204443">
          <w:pPr>
            <w:pStyle w:val="Cabealho"/>
            <w:jc w:val="center"/>
            <w:rPr>
              <w:b/>
              <w:bCs/>
            </w:rPr>
          </w:pPr>
          <w:r>
            <w:rPr>
              <w:b/>
              <w:bCs/>
            </w:rPr>
            <w:t>DEFINIÇÃO DE USUÁRIO ISENTO E DADOS DE CADASTRAMENTO</w:t>
          </w:r>
        </w:p>
      </w:tc>
      <w:tc>
        <w:tcPr>
          <w:tcW w:w="1984" w:type="dxa"/>
          <w:tcBorders>
            <w:bottom w:val="nil"/>
          </w:tcBorders>
          <w:vAlign w:val="center"/>
        </w:tcPr>
        <w:p w14:paraId="1B60E7AB" w14:textId="77777777" w:rsidR="00204443" w:rsidRDefault="00204443" w:rsidP="00204443">
          <w:pPr>
            <w:pStyle w:val="Cabealho"/>
            <w:jc w:val="center"/>
          </w:pPr>
          <w:r w:rsidRPr="00B4510E">
            <w:rPr>
              <w:b/>
              <w:bCs/>
            </w:rPr>
            <w:t>Revisão:</w:t>
          </w:r>
          <w:r>
            <w:t xml:space="preserve"> 01</w:t>
          </w:r>
        </w:p>
      </w:tc>
    </w:tr>
    <w:tr w:rsidR="00204443" w14:paraId="218DC1A8" w14:textId="77777777" w:rsidTr="00664D3C">
      <w:trPr>
        <w:trHeight w:val="279"/>
      </w:trPr>
      <w:tc>
        <w:tcPr>
          <w:tcW w:w="2263" w:type="dxa"/>
          <w:vMerge/>
          <w:tcBorders>
            <w:top w:val="nil"/>
          </w:tcBorders>
          <w:vAlign w:val="center"/>
        </w:tcPr>
        <w:p w14:paraId="285CB172" w14:textId="77777777" w:rsidR="00204443" w:rsidRDefault="00204443" w:rsidP="00204443">
          <w:pPr>
            <w:pStyle w:val="Cabealho"/>
            <w:ind w:left="-108"/>
            <w:jc w:val="center"/>
            <w:rPr>
              <w:noProof/>
            </w:rPr>
          </w:pPr>
        </w:p>
      </w:tc>
      <w:tc>
        <w:tcPr>
          <w:tcW w:w="6243" w:type="dxa"/>
          <w:vMerge/>
          <w:tcBorders>
            <w:top w:val="nil"/>
          </w:tcBorders>
          <w:vAlign w:val="center"/>
        </w:tcPr>
        <w:p w14:paraId="07103643" w14:textId="77777777" w:rsidR="00204443" w:rsidRDefault="00204443" w:rsidP="00204443">
          <w:pPr>
            <w:pStyle w:val="Cabealho"/>
            <w:jc w:val="center"/>
            <w:rPr>
              <w:b/>
              <w:bCs/>
            </w:rPr>
          </w:pPr>
        </w:p>
      </w:tc>
      <w:tc>
        <w:tcPr>
          <w:tcW w:w="1984" w:type="dxa"/>
          <w:tcBorders>
            <w:top w:val="nil"/>
          </w:tcBorders>
          <w:vAlign w:val="center"/>
        </w:tcPr>
        <w:p w14:paraId="13FE65A2" w14:textId="7130F4E1" w:rsidR="00204443" w:rsidRPr="00204443" w:rsidRDefault="00204443" w:rsidP="00204443">
          <w:pPr>
            <w:pStyle w:val="Cabealho"/>
            <w:jc w:val="center"/>
          </w:pPr>
          <w:r w:rsidRPr="00204443">
            <w:t>26/0</w:t>
          </w:r>
          <w:r w:rsidR="00AE0128">
            <w:t>5</w:t>
          </w:r>
          <w:r w:rsidRPr="00204443">
            <w:t>/2025</w:t>
          </w:r>
        </w:p>
      </w:tc>
    </w:tr>
  </w:tbl>
  <w:p w14:paraId="38CB2A4E" w14:textId="77777777" w:rsidR="00204443" w:rsidRDefault="00204443">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15022F"/>
    <w:multiLevelType w:val="hybridMultilevel"/>
    <w:tmpl w:val="D85005D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0715393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F1E"/>
    <w:rsid w:val="00035F00"/>
    <w:rsid w:val="00090836"/>
    <w:rsid w:val="000B2C0B"/>
    <w:rsid w:val="001311CF"/>
    <w:rsid w:val="00140373"/>
    <w:rsid w:val="001846A4"/>
    <w:rsid w:val="00204443"/>
    <w:rsid w:val="002600B4"/>
    <w:rsid w:val="00314478"/>
    <w:rsid w:val="003F76DA"/>
    <w:rsid w:val="00583F1E"/>
    <w:rsid w:val="00664D3C"/>
    <w:rsid w:val="006C69F5"/>
    <w:rsid w:val="006F0360"/>
    <w:rsid w:val="00792436"/>
    <w:rsid w:val="00867B03"/>
    <w:rsid w:val="00AB62BE"/>
    <w:rsid w:val="00AE0128"/>
    <w:rsid w:val="00B23072"/>
    <w:rsid w:val="00BA7673"/>
    <w:rsid w:val="00C140E2"/>
    <w:rsid w:val="00DC7C7E"/>
    <w:rsid w:val="00E94163"/>
    <w:rsid w:val="00EC7DF1"/>
    <w:rsid w:val="00F31F27"/>
    <w:rsid w:val="18226EC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1C5637"/>
  <w15:chartTrackingRefBased/>
  <w15:docId w15:val="{9EF37444-670D-4598-A1E1-D82CB634D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583F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583F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583F1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583F1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583F1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583F1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583F1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583F1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583F1E"/>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583F1E"/>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583F1E"/>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583F1E"/>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583F1E"/>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583F1E"/>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583F1E"/>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583F1E"/>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583F1E"/>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583F1E"/>
    <w:rPr>
      <w:rFonts w:eastAsiaTheme="majorEastAsia" w:cstheme="majorBidi"/>
      <w:color w:val="272727" w:themeColor="text1" w:themeTint="D8"/>
    </w:rPr>
  </w:style>
  <w:style w:type="paragraph" w:styleId="Ttulo">
    <w:name w:val="Title"/>
    <w:basedOn w:val="Normal"/>
    <w:next w:val="Normal"/>
    <w:link w:val="TtuloChar"/>
    <w:uiPriority w:val="10"/>
    <w:qFormat/>
    <w:rsid w:val="00583F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583F1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583F1E"/>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583F1E"/>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583F1E"/>
    <w:pPr>
      <w:spacing w:before="160"/>
      <w:jc w:val="center"/>
    </w:pPr>
    <w:rPr>
      <w:i/>
      <w:iCs/>
      <w:color w:val="404040" w:themeColor="text1" w:themeTint="BF"/>
    </w:rPr>
  </w:style>
  <w:style w:type="character" w:customStyle="1" w:styleId="CitaoChar">
    <w:name w:val="Citação Char"/>
    <w:basedOn w:val="Fontepargpadro"/>
    <w:link w:val="Citao"/>
    <w:uiPriority w:val="29"/>
    <w:rsid w:val="00583F1E"/>
    <w:rPr>
      <w:i/>
      <w:iCs/>
      <w:color w:val="404040" w:themeColor="text1" w:themeTint="BF"/>
    </w:rPr>
  </w:style>
  <w:style w:type="paragraph" w:styleId="PargrafodaLista">
    <w:name w:val="List Paragraph"/>
    <w:basedOn w:val="Normal"/>
    <w:uiPriority w:val="34"/>
    <w:qFormat/>
    <w:rsid w:val="00583F1E"/>
    <w:pPr>
      <w:ind w:left="720"/>
      <w:contextualSpacing/>
    </w:pPr>
  </w:style>
  <w:style w:type="character" w:styleId="nfaseIntensa">
    <w:name w:val="Intense Emphasis"/>
    <w:basedOn w:val="Fontepargpadro"/>
    <w:uiPriority w:val="21"/>
    <w:qFormat/>
    <w:rsid w:val="00583F1E"/>
    <w:rPr>
      <w:i/>
      <w:iCs/>
      <w:color w:val="0F4761" w:themeColor="accent1" w:themeShade="BF"/>
    </w:rPr>
  </w:style>
  <w:style w:type="paragraph" w:styleId="CitaoIntensa">
    <w:name w:val="Intense Quote"/>
    <w:basedOn w:val="Normal"/>
    <w:next w:val="Normal"/>
    <w:link w:val="CitaoIntensaChar"/>
    <w:uiPriority w:val="30"/>
    <w:qFormat/>
    <w:rsid w:val="00583F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583F1E"/>
    <w:rPr>
      <w:i/>
      <w:iCs/>
      <w:color w:val="0F4761" w:themeColor="accent1" w:themeShade="BF"/>
    </w:rPr>
  </w:style>
  <w:style w:type="character" w:styleId="RefernciaIntensa">
    <w:name w:val="Intense Reference"/>
    <w:basedOn w:val="Fontepargpadro"/>
    <w:uiPriority w:val="32"/>
    <w:qFormat/>
    <w:rsid w:val="00583F1E"/>
    <w:rPr>
      <w:b/>
      <w:bCs/>
      <w:smallCaps/>
      <w:color w:val="0F4761" w:themeColor="accent1" w:themeShade="BF"/>
      <w:spacing w:val="5"/>
    </w:rPr>
  </w:style>
  <w:style w:type="character" w:styleId="Hyperlink">
    <w:name w:val="Hyperlink"/>
    <w:basedOn w:val="Fontepargpadro"/>
    <w:uiPriority w:val="99"/>
    <w:unhideWhenUsed/>
    <w:rsid w:val="00090836"/>
    <w:rPr>
      <w:color w:val="467886" w:themeColor="hyperlink"/>
      <w:u w:val="single"/>
    </w:rPr>
  </w:style>
  <w:style w:type="character" w:styleId="MenoPendente">
    <w:name w:val="Unresolved Mention"/>
    <w:basedOn w:val="Fontepargpadro"/>
    <w:uiPriority w:val="99"/>
    <w:semiHidden/>
    <w:unhideWhenUsed/>
    <w:rsid w:val="00090836"/>
    <w:rPr>
      <w:color w:val="605E5C"/>
      <w:shd w:val="clear" w:color="auto" w:fill="E1DFDD"/>
    </w:rPr>
  </w:style>
  <w:style w:type="paragraph" w:styleId="Cabealho">
    <w:name w:val="header"/>
    <w:basedOn w:val="Normal"/>
    <w:link w:val="CabealhoChar"/>
    <w:uiPriority w:val="99"/>
    <w:unhideWhenUsed/>
    <w:rsid w:val="0020444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04443"/>
  </w:style>
  <w:style w:type="paragraph" w:styleId="Rodap">
    <w:name w:val="footer"/>
    <w:basedOn w:val="Normal"/>
    <w:link w:val="RodapChar"/>
    <w:uiPriority w:val="99"/>
    <w:unhideWhenUsed/>
    <w:rsid w:val="00204443"/>
    <w:pPr>
      <w:tabs>
        <w:tab w:val="center" w:pos="4252"/>
        <w:tab w:val="right" w:pos="8504"/>
      </w:tabs>
      <w:spacing w:after="0" w:line="240" w:lineRule="auto"/>
    </w:pPr>
  </w:style>
  <w:style w:type="character" w:customStyle="1" w:styleId="RodapChar">
    <w:name w:val="Rodapé Char"/>
    <w:basedOn w:val="Fontepargpadro"/>
    <w:link w:val="Rodap"/>
    <w:uiPriority w:val="99"/>
    <w:rsid w:val="00204443"/>
  </w:style>
  <w:style w:type="table" w:styleId="Tabelacomgrade">
    <w:name w:val="Table Grid"/>
    <w:basedOn w:val="Tabelanormal"/>
    <w:uiPriority w:val="39"/>
    <w:rsid w:val="00204443"/>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6258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ca@way262.com.b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439</Words>
  <Characters>2373</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Rogério Roberto</dc:creator>
  <cp:keywords/>
  <dc:description/>
  <cp:lastModifiedBy>Emerson Eduard Emiliano Rodrigues</cp:lastModifiedBy>
  <cp:revision>12</cp:revision>
  <dcterms:created xsi:type="dcterms:W3CDTF">2025-03-07T21:43:00Z</dcterms:created>
  <dcterms:modified xsi:type="dcterms:W3CDTF">2025-05-28T14:35:00Z</dcterms:modified>
</cp:coreProperties>
</file>